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1. Genel Şartlar ve Tanımlar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240" w:lineRule="auto"/>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1.1 Genel Şartlar:</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240" w:lineRule="auto"/>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1.1.1</w:t>
      </w:r>
      <w:r w:rsidDel="00000000" w:rsidR="00000000" w:rsidRPr="00000000">
        <w:rPr>
          <w:rFonts w:ascii="Calibri" w:cs="Calibri" w:eastAsia="Calibri" w:hAnsi="Calibri"/>
          <w:color w:val="000000"/>
          <w:sz w:val="22"/>
          <w:szCs w:val="22"/>
          <w:rtl w:val="0"/>
        </w:rPr>
        <w:t xml:space="preserve"> Bu Sözleşme, RADLAB İkincil Standart Dozimetri Laboratuvarı ve Radyasyon Ölçüm Sistemleri San. ve Tic. A.Ş. İkincil Standart Dozimetri Laboratuvarı Gama Kalibrasyon Sistemi Şubesi  (RADLAB) ile hizmet alan özel veya tüzel kişi arasında akdedilmiştir.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40" w:lineRule="auto"/>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1.1.2</w:t>
      </w:r>
      <w:r w:rsidDel="00000000" w:rsidR="00000000" w:rsidRPr="00000000">
        <w:rPr>
          <w:rFonts w:ascii="Calibri" w:cs="Calibri" w:eastAsia="Calibri" w:hAnsi="Calibri"/>
          <w:color w:val="000000"/>
          <w:sz w:val="22"/>
          <w:szCs w:val="22"/>
          <w:rtl w:val="0"/>
        </w:rPr>
        <w:t xml:space="preserve"> RADLAB’dan kalibrasyon talebinde bulunan kişi, kurum ve tüzel kişi metnin bundan sonra “Müşteri” olarak adlandırılacaktır.</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40" w:lineRule="auto"/>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1.1.3</w:t>
      </w:r>
      <w:r w:rsidDel="00000000" w:rsidR="00000000" w:rsidRPr="00000000">
        <w:rPr>
          <w:rFonts w:ascii="Calibri" w:cs="Calibri" w:eastAsia="Calibri" w:hAnsi="Calibri"/>
          <w:color w:val="000000"/>
          <w:sz w:val="22"/>
          <w:szCs w:val="22"/>
          <w:rtl w:val="0"/>
        </w:rPr>
        <w:t xml:space="preserve"> RADLAB’dan talep edilen kalibrasyon hizmetinin verilmesi, müşterinin kalibrasyon talebinde bulunması, iş bu sözleşmenin kabul edilmesi, hizmet bedelinin ödenmesi ve kalibrasyonu yapılacak cihazın RADLAB’a teslim edilmesi ile başlar.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40" w:lineRule="auto"/>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1.1.4</w:t>
      </w:r>
      <w:r w:rsidDel="00000000" w:rsidR="00000000" w:rsidRPr="00000000">
        <w:rPr>
          <w:rFonts w:ascii="Calibri" w:cs="Calibri" w:eastAsia="Calibri" w:hAnsi="Calibri"/>
          <w:color w:val="000000"/>
          <w:sz w:val="22"/>
          <w:szCs w:val="22"/>
          <w:rtl w:val="0"/>
        </w:rPr>
        <w:t xml:space="preserve"> RADLAB,  internet sitesinde ilan edilen kalibrasyon hizmetini kendi imkanları dahilinde karşılar, tedarikçi kullanmaz.</w:t>
      </w:r>
    </w:p>
    <w:p w:rsidR="00000000" w:rsidDel="00000000" w:rsidP="00000000" w:rsidRDefault="00000000" w:rsidRPr="00000000" w14:paraId="00000009">
      <w:pPr>
        <w:widowControl w:val="0"/>
        <w:ind w:right="8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1.1.5</w:t>
      </w:r>
      <w:r w:rsidDel="00000000" w:rsidR="00000000" w:rsidRPr="00000000">
        <w:rPr>
          <w:rFonts w:ascii="Calibri" w:cs="Calibri" w:eastAsia="Calibri" w:hAnsi="Calibri"/>
          <w:sz w:val="22"/>
          <w:szCs w:val="22"/>
          <w:rtl w:val="0"/>
        </w:rPr>
        <w:t xml:space="preserve"> RADLAB, aksi belirtilmedikçe talep edilen kalibrasyon hizmetini, ulusal ve uluslararası standartlara, standart hükmündeki kılavuzlara, bunların olmaması durumunda cihaz/sistem üreticileri tarafından verilen teknik dokümanlara ve kullanım kılavuzlarına uygun olarak verir. </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1.2 Tanımlar: </w:t>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Kalibrasyon:</w:t>
      </w:r>
      <w:r w:rsidDel="00000000" w:rsidR="00000000" w:rsidRPr="00000000">
        <w:rPr>
          <w:rFonts w:ascii="Calibri" w:cs="Calibri" w:eastAsia="Calibri" w:hAnsi="Calibri"/>
          <w:color w:val="000000"/>
          <w:sz w:val="22"/>
          <w:szCs w:val="22"/>
          <w:rtl w:val="0"/>
        </w:rPr>
        <w:t xml:space="preserve"> Radyasyon ölçümlerinde kullanılan cihazların ölçümlemesidir.</w:t>
      </w:r>
      <w:r w:rsidDel="00000000" w:rsidR="00000000" w:rsidRPr="00000000">
        <w:rPr>
          <w:rFonts w:ascii="Calibri" w:cs="Calibri" w:eastAsia="Calibri" w:hAnsi="Calibri"/>
          <w:b w:val="1"/>
          <w:color w:val="000000"/>
          <w:sz w:val="22"/>
          <w:szCs w:val="22"/>
          <w:rtl w:val="0"/>
        </w:rPr>
        <w:t xml:space="preserve"> </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2. Kalibrasyon Hizmetine İlişkin Açıklamalar ve Ba</w:t>
      </w:r>
      <w:r w:rsidDel="00000000" w:rsidR="00000000" w:rsidRPr="00000000">
        <w:rPr>
          <w:rFonts w:ascii="Calibri" w:cs="Calibri" w:eastAsia="Calibri" w:hAnsi="Calibri"/>
          <w:color w:val="000000"/>
          <w:sz w:val="22"/>
          <w:szCs w:val="22"/>
          <w:rtl w:val="0"/>
        </w:rPr>
        <w:t xml:space="preserve">ş</w:t>
      </w:r>
      <w:r w:rsidDel="00000000" w:rsidR="00000000" w:rsidRPr="00000000">
        <w:rPr>
          <w:rFonts w:ascii="Calibri" w:cs="Calibri" w:eastAsia="Calibri" w:hAnsi="Calibri"/>
          <w:b w:val="1"/>
          <w:color w:val="000000"/>
          <w:sz w:val="22"/>
          <w:szCs w:val="22"/>
          <w:rtl w:val="0"/>
        </w:rPr>
        <w:t xml:space="preserve">vuru Şartları</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2.1 İletişim </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Calibri" w:cs="Calibri" w:eastAsia="Calibri" w:hAnsi="Calibri"/>
          <w:b w:val="1"/>
          <w:color w:val="000000"/>
          <w:sz w:val="22"/>
          <w:szCs w:val="22"/>
        </w:rPr>
      </w:pPr>
      <w:r w:rsidDel="00000000" w:rsidR="00000000" w:rsidRPr="00000000">
        <w:rPr>
          <w:rFonts w:ascii="Calibri" w:cs="Calibri" w:eastAsia="Calibri" w:hAnsi="Calibri"/>
          <w:color w:val="000000"/>
          <w:sz w:val="22"/>
          <w:szCs w:val="22"/>
          <w:rtl w:val="0"/>
        </w:rPr>
        <w:t xml:space="preserve">RADLAB İkincil Standart Dozimetri Laboratuvarı </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Ahi Evran OSB Mah. Erkunt Cad. No:3 İç Kapı No: 2-11 06935 Sincan ANKARA  </w:t>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Tel: 0312 543 45 41   </w:t>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E-mail: </w:t>
      </w:r>
      <w:r w:rsidDel="00000000" w:rsidR="00000000" w:rsidRPr="00000000">
        <w:rPr>
          <w:rFonts w:ascii="Calibri" w:cs="Calibri" w:eastAsia="Calibri" w:hAnsi="Calibri"/>
          <w:color w:val="0000ff"/>
          <w:sz w:val="22"/>
          <w:szCs w:val="22"/>
          <w:u w:val="single"/>
          <w:rtl w:val="0"/>
        </w:rPr>
        <w:t xml:space="preserve">bilgi@radlab.com.tr</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2.2 Cihazların RADLAB’a</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color w:val="000000"/>
          <w:sz w:val="22"/>
          <w:szCs w:val="22"/>
          <w:rtl w:val="0"/>
        </w:rPr>
        <w:t xml:space="preserve">Ulaştırılması</w:t>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Kalibrasyon hizmeti süreci, kalibrasyon talebinde bulunulması, iş bu sözleşmenin kabul edilmesi, hizmet bedelinin ödenmesi ve kalibrasyonu yapılacak cihazın RADLAB’a teslim edilmesi ile başlar. Cihazların posta/kargo/kurye ile gönderilmesi halinde nakliye sırasında hasar görmesini engelleyecek şekilde Müşteri tarafından onaylanmış Talep Formu ve Sözleşme Formu, varsa cihaza ait Kullanma Kılavuzu veya teknik dokümanların bir kopyası ile birlikte paketlenerek ulaştırılması gerekmektedir. Gönderi ücretleri müşteriye aittir. Gönderinin teslim alınması esnasında teslimatı yapan görevlinin huzurunda paket açılır hasarlı olup olmadığı tespit edilir. Hasarlı cihazlar fotoğraflı tutanak tutularak teslim alınır. Hasarsız teslim alınan cihazlar ile ilgili kalibrasyon işlemleri başlatılır. Her iki durumda da müşteriye telefon veya e-posta vasıtasıyla bilgi verilir.</w:t>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Başvuru formundaki bilgiler ile gönderilen cihaza ait bilgilerin (marka, model, seri no. vb.) uyuşmaması durumunda, müşteri ile iletişime geçilerek bilgiler teyit edilir.</w:t>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Cihazların elden teslim ve/veya iade alınmasının talep edilmesi halinde Cihaz Kabul ve İade Tutanağı Formu düzenlenir. Bu formun bir nüshası müşteriye verilir.</w:t>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2.3 Ödeme Şartları</w:t>
      </w:r>
      <w:r w:rsidDel="00000000" w:rsidR="00000000" w:rsidRPr="00000000">
        <w:rPr>
          <w:rFonts w:ascii="Calibri" w:cs="Calibri" w:eastAsia="Calibri" w:hAnsi="Calibri"/>
          <w:color w:val="000000"/>
          <w:sz w:val="22"/>
          <w:szCs w:val="22"/>
          <w:rtl w:val="0"/>
        </w:rPr>
        <w:br w:type="textWrapping"/>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Kalibrasyon hizmet bedeli RADLAB Banka hesabına yatırılarak veya elden makbuz düzenlenerek ödenir. </w:t>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rFonts w:ascii="Calibri" w:cs="Calibri" w:eastAsia="Calibri" w:hAnsi="Calibri"/>
          <w:b w:val="1"/>
          <w:color w:val="000000"/>
          <w:sz w:val="22"/>
          <w:szCs w:val="22"/>
        </w:rPr>
      </w:pPr>
      <w:r w:rsidDel="00000000" w:rsidR="00000000" w:rsidRPr="00000000">
        <w:rPr>
          <w:rFonts w:ascii="Calibri" w:cs="Calibri" w:eastAsia="Calibri" w:hAnsi="Calibri"/>
          <w:color w:val="000000"/>
          <w:sz w:val="22"/>
          <w:szCs w:val="22"/>
          <w:rtl w:val="0"/>
        </w:rPr>
        <w:br w:type="textWrapping"/>
      </w:r>
      <w:r w:rsidDel="00000000" w:rsidR="00000000" w:rsidRPr="00000000">
        <w:rPr>
          <w:rFonts w:ascii="Calibri" w:cs="Calibri" w:eastAsia="Calibri" w:hAnsi="Calibri"/>
          <w:b w:val="1"/>
          <w:color w:val="000000"/>
          <w:sz w:val="22"/>
          <w:szCs w:val="22"/>
          <w:rtl w:val="0"/>
        </w:rPr>
        <w:t xml:space="preserve">2.4 Kalibrasyon Hizmet Süresi</w:t>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240" w:lineRule="auto"/>
        <w:jc w:val="both"/>
        <w:rPr>
          <w:rFonts w:ascii="Calibri" w:cs="Calibri" w:eastAsia="Calibri" w:hAnsi="Calibri"/>
          <w:b w:val="1"/>
          <w:color w:val="333333"/>
          <w:sz w:val="22"/>
          <w:szCs w:val="22"/>
        </w:rPr>
      </w:pPr>
      <w:r w:rsidDel="00000000" w:rsidR="00000000" w:rsidRPr="00000000">
        <w:rPr>
          <w:rFonts w:ascii="Calibri" w:cs="Calibri" w:eastAsia="Calibri" w:hAnsi="Calibri"/>
          <w:color w:val="000000"/>
          <w:sz w:val="22"/>
          <w:szCs w:val="22"/>
          <w:rtl w:val="0"/>
        </w:rPr>
        <w:t xml:space="preserve">Kalibrasyon hizmet süresi en fazla 20 gün ile sınırlıdır. Hizmet süresi, cihazın RADLAB’a teslim edildiği tarih ile başlar. Kalibrasyon için gönderilen cihazların kablo vb. aksesuarlarının eksik gönderilmesi durumunda, hizmetin başlama tarihi müşteri tarafından eksik hususların tamamlandığı tarihtir. Bu anlaşmaya ilişkin bilgi FT002 Talep Formuna kayıt edilir.</w:t>
      </w:r>
      <w:r w:rsidDel="00000000" w:rsidR="00000000" w:rsidRPr="00000000">
        <w:rPr>
          <w:rFonts w:ascii="Calibri" w:cs="Calibri" w:eastAsia="Calibri" w:hAnsi="Calibri"/>
          <w:b w:val="1"/>
          <w:color w:val="333333"/>
          <w:sz w:val="22"/>
          <w:szCs w:val="22"/>
          <w:rtl w:val="0"/>
        </w:rPr>
        <w:t xml:space="preserve">  </w:t>
      </w:r>
    </w:p>
    <w:p w:rsidR="00000000" w:rsidDel="00000000" w:rsidP="00000000" w:rsidRDefault="00000000" w:rsidRPr="00000000" w14:paraId="00000026">
      <w:pPr>
        <w:numPr>
          <w:ilvl w:val="1"/>
          <w:numId w:val="1"/>
        </w:numPr>
        <w:pBdr>
          <w:top w:space="0" w:sz="0" w:val="nil"/>
          <w:left w:space="0" w:sz="0" w:val="nil"/>
          <w:bottom w:space="0" w:sz="0" w:val="nil"/>
          <w:right w:space="0" w:sz="0" w:val="nil"/>
          <w:between w:space="0" w:sz="0" w:val="nil"/>
        </w:pBdr>
        <w:spacing w:after="240"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 Kalibrasyonun Yapılması ve Sertifikanın Hazırlanması </w:t>
      </w:r>
      <w:r w:rsidDel="00000000" w:rsidR="00000000" w:rsidRPr="00000000">
        <w:rPr>
          <w:rtl w:val="0"/>
        </w:rPr>
      </w:r>
    </w:p>
    <w:p w:rsidR="00000000" w:rsidDel="00000000" w:rsidP="00000000" w:rsidRDefault="00000000" w:rsidRPr="00000000" w14:paraId="00000027">
      <w:pPr>
        <w:spacing w:after="280" w:before="28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Kalibrasyon, ilgili standartlara uygun olarak oluşturulan prosedürler kullanılarak, her müşteri için aynı şekilde uygulanır ve Kalibrasyon Sertifikası düzenlenir. Kalibrasyonu yapılan her cihaz için ayrı Sertifika düzenlenir. Radyasyondan korunma amacıyla kullanılan doz hızı ölçer cihazlar için karar kuralı “±%15 sapma” olarak verilmekte olup, kalibrasyon sonucunda sapma değerinin bu sınırların dışına çıkması durumunda Kalibrasyon Sertifikası düzenlenmez. Kalibrasyon hizmeti kapsamında düzenlenen sertifikalarda bunun dışında herhangi bir uygunluk beyanı verilmemektedir. Sonuç değerleri belirtilen sınırların dışında kalan cihazlar için Kalibrasyon Sertifikası yerine ölçüm sonuçlarını ve sapma değerlerini içeren FT003 Cihaz İadesi Bildirim Formu düzenlenir. Cihazların arızalı, hasarlı,..vb. olması nedeniyle kalibrasyon prosedürlerinin uygulanamaması durumunda söz konusu hizmet için ödenen ücret iade edilir. Diğer durumlar için ücret iadesi yapılmaz. Müşteri tarafından talep olması durumunda önceden izin talep edilmesi ve RADLAB tarafından uygun görülmesi şartıyla, müşteriye kendi cihazının kalibrasyonunu laboratuvarda izleme imkanı sağlanır.  Kalibrasyon sonuçları ile ilgili kayıtlar, yasal bir zorunlulukla belirlenmediği sürece müşteri gizliliği dikkate alınarak 5 yıl süre ile saklanır. </w:t>
      </w:r>
    </w:p>
    <w:p w:rsidR="00000000" w:rsidDel="00000000" w:rsidP="00000000" w:rsidRDefault="00000000" w:rsidRPr="00000000" w14:paraId="00000028">
      <w:pPr>
        <w:numPr>
          <w:ilvl w:val="1"/>
          <w:numId w:val="1"/>
        </w:numPr>
        <w:pBdr>
          <w:top w:space="0" w:sz="0" w:val="nil"/>
          <w:left w:space="0" w:sz="0" w:val="nil"/>
          <w:bottom w:space="0" w:sz="0" w:val="nil"/>
          <w:right w:space="0" w:sz="0" w:val="nil"/>
          <w:between w:space="0" w:sz="0" w:val="nil"/>
        </w:pBdr>
        <w:spacing w:after="280" w:before="280" w:lineRule="auto"/>
        <w:ind w:left="360" w:hanging="36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Kalibrasyon Sonrası Cihazların Müşteriye</w:t>
      </w:r>
      <w:r w:rsidDel="00000000" w:rsidR="00000000" w:rsidRPr="00000000">
        <w:rPr>
          <w:rFonts w:ascii="Calibri" w:cs="Calibri" w:eastAsia="Calibri" w:hAnsi="Calibri"/>
          <w:b w:val="1"/>
          <w:color w:val="333333"/>
          <w:sz w:val="22"/>
          <w:szCs w:val="22"/>
          <w:rtl w:val="0"/>
        </w:rPr>
        <w:t xml:space="preserve"> </w:t>
      </w:r>
      <w:r w:rsidDel="00000000" w:rsidR="00000000" w:rsidRPr="00000000">
        <w:rPr>
          <w:rFonts w:ascii="Calibri" w:cs="Calibri" w:eastAsia="Calibri" w:hAnsi="Calibri"/>
          <w:b w:val="1"/>
          <w:color w:val="000000"/>
          <w:sz w:val="22"/>
          <w:szCs w:val="22"/>
          <w:rtl w:val="0"/>
        </w:rPr>
        <w:t xml:space="preserve">Ulaştırılması</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280" w:before="28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Kalibrasyonu tamamlanan cihazlar, sertifikaları ve üst yazısı ile birlikte nakliye sırasında hasar görmeyecek şekilde paketlenir ve RADLAB’ın anlaşmalı olduğu kargo firması aracılığıyla müşteri tarafından Talep Formunda bildirilen adrese gönderilir. Nakliye sırasında oluşacak hasarlardan veya kayıplardan RADLAB sorumlu değildir. Cihazların elden iadesi veya müşterinin anlaşmalı olduğu kargo firmasının kullanılması talep edilmesi halinde, gönderi sırasında bu durum belirtilmelidir. Bu durumda, hizmetin tamamlandığına dair müşteri bilgilendirilir ve paket müşteri tarafından veya müşterinin anlaşmalı olduğu kargo firması tarafından RADLAB’dan teslim alınır. RADLAB tarafından FT003 Cihaz Kabul ve İade Tutanağı Formu düzenlenir. Bu formun bir nüshası müşteriye verilir.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40" w:lineRule="auto"/>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3. DİĞER HUSUSLAR</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280" w:before="280" w:lineRule="auto"/>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3.1</w:t>
      </w:r>
      <w:r w:rsidDel="00000000" w:rsidR="00000000" w:rsidRPr="00000000">
        <w:rPr>
          <w:rFonts w:ascii="Calibri" w:cs="Calibri" w:eastAsia="Calibri" w:hAnsi="Calibri"/>
          <w:color w:val="000000"/>
          <w:sz w:val="22"/>
          <w:szCs w:val="22"/>
          <w:rtl w:val="0"/>
        </w:rPr>
        <w:t xml:space="preserve"> Müşteri tarafından gönderilen cihazların arızalı olması, teknolojisinin kalibrasyon için uygun olmaması, kablo vb. aksesuarlarının temin edilememesi gibi durumlarda cihazlar Cihaz İadesi Bildirim Formu</w:t>
      </w:r>
      <w:r w:rsidDel="00000000" w:rsidR="00000000" w:rsidRPr="00000000">
        <w:rPr>
          <w:rFonts w:ascii="Calibri" w:cs="Calibri" w:eastAsia="Calibri" w:hAnsi="Calibri"/>
          <w:color w:val="333333"/>
          <w:sz w:val="22"/>
          <w:szCs w:val="22"/>
          <w:rtl w:val="0"/>
        </w:rPr>
        <w:t xml:space="preserve"> </w:t>
      </w:r>
      <w:r w:rsidDel="00000000" w:rsidR="00000000" w:rsidRPr="00000000">
        <w:rPr>
          <w:rFonts w:ascii="Calibri" w:cs="Calibri" w:eastAsia="Calibri" w:hAnsi="Calibri"/>
          <w:color w:val="000000"/>
          <w:sz w:val="22"/>
          <w:szCs w:val="22"/>
          <w:rtl w:val="0"/>
        </w:rPr>
        <w:t xml:space="preserve">ile birlikte iade edilir. Bu tür nedenlerle kalibrasyon işlemine alınamayan cihazlar için yatırılan ücret müşterinin talebi doğrultusunda müşteriye iade edilir. Bunun haricindeki durumlar için ücret iadesi yapılmaz.  </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240" w:lineRule="auto"/>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3.2</w:t>
      </w:r>
      <w:r w:rsidDel="00000000" w:rsidR="00000000" w:rsidRPr="00000000">
        <w:rPr>
          <w:rFonts w:ascii="Calibri" w:cs="Calibri" w:eastAsia="Calibri" w:hAnsi="Calibri"/>
          <w:color w:val="000000"/>
          <w:sz w:val="22"/>
          <w:szCs w:val="22"/>
          <w:rtl w:val="0"/>
        </w:rPr>
        <w:t xml:space="preserve"> Yasal olarak gereken haller dışında müşteri ile ilgili tüm bilgiler gizli tutulur. Ancak yasal otorite; müşterinin haberi olmadan müşteriye dair bilgilere ulaşmak isterse, bilgilerin paylaşıldığı ile</w:t>
      </w:r>
      <w:r w:rsidDel="00000000" w:rsidR="00000000" w:rsidRPr="00000000">
        <w:rPr>
          <w:rFonts w:ascii="Calibri" w:cs="Calibri" w:eastAsia="Calibri" w:hAnsi="Calibri"/>
          <w:color w:val="333333"/>
          <w:sz w:val="22"/>
          <w:szCs w:val="22"/>
          <w:rtl w:val="0"/>
        </w:rPr>
        <w:t xml:space="preserve"> </w:t>
      </w:r>
      <w:r w:rsidDel="00000000" w:rsidR="00000000" w:rsidRPr="00000000">
        <w:rPr>
          <w:rFonts w:ascii="Calibri" w:cs="Calibri" w:eastAsia="Calibri" w:hAnsi="Calibri"/>
          <w:color w:val="000000"/>
          <w:sz w:val="22"/>
          <w:szCs w:val="22"/>
          <w:rtl w:val="0"/>
        </w:rPr>
        <w:t xml:space="preserve">ilgili hususta müşteriye bilgi verilmez. RADLAB, kamuya açık hâle getirmek istediği bilgi hakkında müşteriyi önceden bilgilendirir. Bilginin müşteri tarafından kamuya açık hâle getirildiği veya RADLAB ile müşteri arasında anlaşma olduğu durumlar hâriç diğer tüm bilgilerin özel bilgi olduğu değerlendirilir ve bu bilgiler mahrem bilgi kabul edilir. Müşteri dışındaki kaynaklardan elde edilen müşteri hakkındaki bilgiler, müşteriyle RADLAB arasında gizli kalır. Bu bilgilerin kaynağı RADLAB tarafından gizli tutulur ve kaynak tarafından onaylanmadığı müddetçe müşteriyle paylaşılmaz.</w:t>
      </w:r>
      <w:r w:rsidDel="00000000" w:rsidR="00000000" w:rsidRPr="00000000">
        <w:rPr>
          <w:rFonts w:ascii="Calibri" w:cs="Calibri" w:eastAsia="Calibri" w:hAnsi="Calibri"/>
          <w:b w:val="1"/>
          <w:color w:val="000000"/>
          <w:sz w:val="22"/>
          <w:szCs w:val="22"/>
          <w:rtl w:val="0"/>
        </w:rPr>
        <w:tab/>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240" w:lineRule="auto"/>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3.3 </w:t>
      </w:r>
      <w:r w:rsidDel="00000000" w:rsidR="00000000" w:rsidRPr="00000000">
        <w:rPr>
          <w:rFonts w:ascii="Calibri" w:cs="Calibri" w:eastAsia="Calibri" w:hAnsi="Calibri"/>
          <w:color w:val="000000"/>
          <w:sz w:val="22"/>
          <w:szCs w:val="22"/>
          <w:rtl w:val="0"/>
        </w:rPr>
        <w:t xml:space="preserve">Bu Sözleşme, kalibrasyon hizmetinin gereklilikleri kapsamında güncellenmektedir</w:t>
      </w:r>
      <w:r w:rsidDel="00000000" w:rsidR="00000000" w:rsidRPr="00000000">
        <w:rPr>
          <w:rFonts w:ascii="Calibri" w:cs="Calibri" w:eastAsia="Calibri" w:hAnsi="Calibri"/>
          <w:b w:val="1"/>
          <w:color w:val="333333"/>
          <w:sz w:val="22"/>
          <w:szCs w:val="22"/>
          <w:rtl w:val="0"/>
        </w:rPr>
        <w:t xml:space="preserve">.</w:t>
      </w:r>
      <w:r w:rsidDel="00000000" w:rsidR="00000000" w:rsidRPr="00000000">
        <w:rPr>
          <w:rFonts w:ascii="Calibri" w:cs="Calibri" w:eastAsia="Calibri" w:hAnsi="Calibri"/>
          <w:color w:val="000000"/>
          <w:sz w:val="22"/>
          <w:szCs w:val="22"/>
          <w:rtl w:val="0"/>
        </w:rPr>
        <w:t xml:space="preserve"> Bu Sözleşmenin güncel haline internet sitesinden ulaşılabilir.</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240" w:lineRule="auto"/>
        <w:jc w:val="both"/>
        <w:rPr>
          <w:rFonts w:ascii="Calibri" w:cs="Calibri" w:eastAsia="Calibri" w:hAnsi="Calibri"/>
        </w:rPr>
      </w:pPr>
      <w:r w:rsidDel="00000000" w:rsidR="00000000" w:rsidRPr="00000000">
        <w:rPr>
          <w:rFonts w:ascii="Calibri" w:cs="Calibri" w:eastAsia="Calibri" w:hAnsi="Calibri"/>
          <w:sz w:val="22"/>
          <w:szCs w:val="22"/>
          <w:rtl w:val="0"/>
        </w:rPr>
        <w:t xml:space="preserve">3.4 </w:t>
      </w:r>
      <w:r w:rsidDel="00000000" w:rsidR="00000000" w:rsidRPr="00000000">
        <w:rPr>
          <w:rFonts w:ascii="Calibri" w:cs="Calibri" w:eastAsia="Calibri" w:hAnsi="Calibri"/>
          <w:rtl w:val="0"/>
        </w:rPr>
        <w:t xml:space="preserve">Kalibrasyon faaliyetleri, kalibrasyonu talep eden müşteri ve/veya yetkilendirdiği temsilci tarafından izlenebilir. Müşteri, kendisi ile ilgili kalibrasyon çalışmaları yürütülürken referans dokümanların gerekliliklerinin takip edildiğini ve gizlilik koşullarına uyulduğunu, aşağıda belirtilen koşullar çerçevesinde izleme hakkına sahiptir;</w:t>
      </w:r>
    </w:p>
    <w:p w:rsidR="00000000" w:rsidDel="00000000" w:rsidP="00000000" w:rsidRDefault="00000000" w:rsidRPr="00000000" w14:paraId="0000002F">
      <w:pPr>
        <w:ind w:left="426" w:right="140" w:hanging="280"/>
        <w:jc w:val="both"/>
        <w:rPr>
          <w:rFonts w:ascii="Calibri" w:cs="Calibri" w:eastAsia="Calibri" w:hAnsi="Calibri"/>
          <w:sz w:val="22"/>
          <w:szCs w:val="22"/>
        </w:rPr>
      </w:pPr>
      <w:r w:rsidDel="00000000" w:rsidR="00000000" w:rsidRPr="00000000">
        <w:rPr>
          <w:rFonts w:ascii="Noto Sans Symbols" w:cs="Noto Sans Symbols" w:eastAsia="Noto Sans Symbols" w:hAnsi="Noto Sans Symbols"/>
          <w:sz w:val="32"/>
          <w:szCs w:val="32"/>
          <w:rtl w:val="0"/>
        </w:rPr>
        <w:t xml:space="preserve">▪</w:t>
      </w:r>
      <w:r w:rsidDel="00000000" w:rsidR="00000000" w:rsidRPr="00000000">
        <w:rPr>
          <w:sz w:val="14"/>
          <w:szCs w:val="14"/>
          <w:rtl w:val="0"/>
        </w:rPr>
        <w:t xml:space="preserve">     </w:t>
      </w:r>
      <w:r w:rsidDel="00000000" w:rsidR="00000000" w:rsidRPr="00000000">
        <w:rPr>
          <w:rFonts w:ascii="Calibri" w:cs="Calibri" w:eastAsia="Calibri" w:hAnsi="Calibri"/>
          <w:sz w:val="22"/>
          <w:szCs w:val="22"/>
          <w:rtl w:val="0"/>
        </w:rPr>
        <w:t xml:space="preserve">Müşteriye kalibrasyon izlemesi için randevu verilir, habersiz ziyaretler kabul edilmez.</w:t>
      </w:r>
    </w:p>
    <w:p w:rsidR="00000000" w:rsidDel="00000000" w:rsidP="00000000" w:rsidRDefault="00000000" w:rsidRPr="00000000" w14:paraId="00000030">
      <w:pPr>
        <w:ind w:left="426" w:right="140" w:hanging="284"/>
        <w:jc w:val="both"/>
        <w:rPr>
          <w:rFonts w:ascii="Calibri" w:cs="Calibri" w:eastAsia="Calibri" w:hAnsi="Calibri"/>
          <w:sz w:val="22"/>
          <w:szCs w:val="22"/>
        </w:rPr>
      </w:pPr>
      <w:r w:rsidDel="00000000" w:rsidR="00000000" w:rsidRPr="00000000">
        <w:rPr>
          <w:rFonts w:ascii="Noto Sans Symbols" w:cs="Noto Sans Symbols" w:eastAsia="Noto Sans Symbols" w:hAnsi="Noto Sans Symbols"/>
          <w:sz w:val="32"/>
          <w:szCs w:val="32"/>
          <w:rtl w:val="0"/>
        </w:rPr>
        <w:t xml:space="preserve">▪</w:t>
      </w:r>
      <w:r w:rsidDel="00000000" w:rsidR="00000000" w:rsidRPr="00000000">
        <w:rPr>
          <w:sz w:val="14"/>
          <w:szCs w:val="14"/>
          <w:rtl w:val="0"/>
        </w:rPr>
        <w:t xml:space="preserve">   </w:t>
      </w:r>
      <w:r w:rsidDel="00000000" w:rsidR="00000000" w:rsidRPr="00000000">
        <w:rPr>
          <w:rFonts w:ascii="Calibri" w:cs="Calibri" w:eastAsia="Calibri" w:hAnsi="Calibri"/>
          <w:sz w:val="22"/>
          <w:szCs w:val="22"/>
          <w:rtl w:val="0"/>
        </w:rPr>
        <w:t xml:space="preserve">Kalibrasyonlara ait numune ve/veya dokümanlar daima kalibrasyon personeli dışındaki kişilerin göremeyeceği şekilde muhafaza edilir.</w:t>
      </w:r>
    </w:p>
    <w:p w:rsidR="00000000" w:rsidDel="00000000" w:rsidP="00000000" w:rsidRDefault="00000000" w:rsidRPr="00000000" w14:paraId="00000031">
      <w:pPr>
        <w:ind w:left="426" w:right="140" w:hanging="280"/>
        <w:jc w:val="both"/>
        <w:rPr>
          <w:rFonts w:ascii="Calibri" w:cs="Calibri" w:eastAsia="Calibri" w:hAnsi="Calibri"/>
          <w:sz w:val="22"/>
          <w:szCs w:val="22"/>
        </w:rPr>
      </w:pPr>
      <w:bookmarkStart w:colFirst="0" w:colLast="0" w:name="_heading=h.30j0zll" w:id="1"/>
      <w:bookmarkEnd w:id="1"/>
      <w:r w:rsidDel="00000000" w:rsidR="00000000" w:rsidRPr="00000000">
        <w:rPr>
          <w:rFonts w:ascii="Noto Sans Symbols" w:cs="Noto Sans Symbols" w:eastAsia="Noto Sans Symbols" w:hAnsi="Noto Sans Symbols"/>
          <w:sz w:val="32"/>
          <w:szCs w:val="32"/>
          <w:rtl w:val="0"/>
        </w:rPr>
        <w:t xml:space="preserve">▪</w:t>
      </w:r>
      <w:r w:rsidDel="00000000" w:rsidR="00000000" w:rsidRPr="00000000">
        <w:rPr>
          <w:sz w:val="14"/>
          <w:szCs w:val="14"/>
          <w:rtl w:val="0"/>
        </w:rPr>
        <w:t xml:space="preserve">   </w:t>
      </w:r>
      <w:r w:rsidDel="00000000" w:rsidR="00000000" w:rsidRPr="00000000">
        <w:rPr>
          <w:rFonts w:ascii="Calibri" w:cs="Calibri" w:eastAsia="Calibri" w:hAnsi="Calibri"/>
          <w:sz w:val="22"/>
          <w:szCs w:val="22"/>
          <w:rtl w:val="0"/>
        </w:rPr>
        <w:t xml:space="preserve">Kalibrasyonlara nezaret eden kişi laboratuvarda</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sz w:val="22"/>
          <w:szCs w:val="22"/>
          <w:rtl w:val="0"/>
        </w:rPr>
        <w:t xml:space="preserve">yalnızca gözlemci sıfatıyla bulunabilir, kalibrasyonlara hiçbir koşul altında müdahale edemez </w:t>
      </w:r>
    </w:p>
    <w:p w:rsidR="00000000" w:rsidDel="00000000" w:rsidP="00000000" w:rsidRDefault="00000000" w:rsidRPr="00000000" w14:paraId="00000032">
      <w:pPr>
        <w:ind w:left="426" w:right="140" w:hanging="280"/>
        <w:jc w:val="both"/>
        <w:rPr>
          <w:rFonts w:ascii="Calibri" w:cs="Calibri" w:eastAsia="Calibri" w:hAnsi="Calibri"/>
          <w:sz w:val="22"/>
          <w:szCs w:val="22"/>
        </w:rPr>
      </w:pPr>
      <w:bookmarkStart w:colFirst="0" w:colLast="0" w:name="_heading=h.8av3pfhp0ae5" w:id="2"/>
      <w:bookmarkEnd w:id="2"/>
      <w:r w:rsidDel="00000000" w:rsidR="00000000" w:rsidRPr="00000000">
        <w:rPr>
          <w:rtl w:val="0"/>
        </w:rPr>
      </w:r>
    </w:p>
    <w:p w:rsidR="00000000" w:rsidDel="00000000" w:rsidP="00000000" w:rsidRDefault="00000000" w:rsidRPr="00000000" w14:paraId="00000033">
      <w:pPr>
        <w:ind w:left="426" w:right="140" w:hanging="280"/>
        <w:jc w:val="both"/>
        <w:rPr>
          <w:rFonts w:ascii="Calibri" w:cs="Calibri" w:eastAsia="Calibri" w:hAnsi="Calibri"/>
          <w:sz w:val="22"/>
          <w:szCs w:val="22"/>
        </w:rPr>
      </w:pPr>
      <w:bookmarkStart w:colFirst="0" w:colLast="0" w:name="_heading=h.o0bjxodzy5xw" w:id="3"/>
      <w:bookmarkEnd w:id="3"/>
      <w:r w:rsidDel="00000000" w:rsidR="00000000" w:rsidRPr="00000000">
        <w:rPr>
          <w:rtl w:val="0"/>
        </w:rPr>
      </w:r>
    </w:p>
    <w:p w:rsidR="00000000" w:rsidDel="00000000" w:rsidP="00000000" w:rsidRDefault="00000000" w:rsidRPr="00000000" w14:paraId="00000034">
      <w:pPr>
        <w:ind w:left="426" w:right="140" w:hanging="280"/>
        <w:jc w:val="both"/>
        <w:rPr>
          <w:rFonts w:ascii="Calibri" w:cs="Calibri" w:eastAsia="Calibri" w:hAnsi="Calibri"/>
          <w:sz w:val="22"/>
          <w:szCs w:val="22"/>
        </w:rPr>
      </w:pPr>
      <w:bookmarkStart w:colFirst="0" w:colLast="0" w:name="_heading=h.gd0dyxx0d4ob" w:id="4"/>
      <w:bookmarkEnd w:id="4"/>
      <w:r w:rsidDel="00000000" w:rsidR="00000000" w:rsidRPr="00000000">
        <w:rPr>
          <w:rtl w:val="0"/>
        </w:rPr>
      </w:r>
    </w:p>
    <w:p w:rsidR="00000000" w:rsidDel="00000000" w:rsidP="00000000" w:rsidRDefault="00000000" w:rsidRPr="00000000" w14:paraId="00000035">
      <w:pPr>
        <w:ind w:left="426" w:right="140" w:hanging="280"/>
        <w:jc w:val="both"/>
        <w:rPr>
          <w:rFonts w:ascii="Calibri" w:cs="Calibri" w:eastAsia="Calibri" w:hAnsi="Calibri"/>
          <w:sz w:val="22"/>
          <w:szCs w:val="22"/>
        </w:rPr>
      </w:pPr>
      <w:bookmarkStart w:colFirst="0" w:colLast="0" w:name="_heading=h.1rq6uucu90fg" w:id="5"/>
      <w:bookmarkEnd w:id="5"/>
      <w:r w:rsidDel="00000000" w:rsidR="00000000" w:rsidRPr="00000000">
        <w:rPr>
          <w:rtl w:val="0"/>
        </w:rPr>
      </w:r>
    </w:p>
    <w:p w:rsidR="00000000" w:rsidDel="00000000" w:rsidP="00000000" w:rsidRDefault="00000000" w:rsidRPr="00000000" w14:paraId="00000036">
      <w:pPr>
        <w:ind w:left="426" w:right="140" w:hanging="28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ind w:right="14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4. ANLAŞMAZLIKLARIN HALİ</w:t>
      </w:r>
    </w:p>
    <w:p w:rsidR="00000000" w:rsidDel="00000000" w:rsidP="00000000" w:rsidRDefault="00000000" w:rsidRPr="00000000" w14:paraId="00000038">
      <w:pPr>
        <w:ind w:right="140"/>
        <w:jc w:val="both"/>
        <w:rPr>
          <w:rFonts w:ascii="Calibri" w:cs="Calibri" w:eastAsia="Calibri" w:hAnsi="Calibri"/>
          <w:color w:val="000000"/>
          <w:sz w:val="22"/>
          <w:szCs w:val="22"/>
        </w:rPr>
      </w:pPr>
      <w:bookmarkStart w:colFirst="0" w:colLast="0" w:name="_heading=h.1fob9te" w:id="6"/>
      <w:bookmarkEnd w:id="6"/>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RADLAB ile müşteri arasında doğabilecek anlaşmazlıklarda; öncelikle müşteri ile karşılıklı mutabakat aranır.</w:t>
      </w: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Karşılıklı mutabakat sağlanamaması halinde, bu Sözleşmenin uygulanmasından doğabilecek her türlü anlaşmazlığın çözümünde öncelikle arabuluculuğa başvurulması esas olmakla beraber, Ankara Mahkemeleri ve İcra Daireleri yetkilidir.</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240" w:lineRule="auto"/>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5.  MÜCBİR SEBEPLER </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RADLAB’dan kaynaklanan bir kusurdan ileri gelmemiş olması, Sözleşmeden doğan yükümlülüklerin yerine getirilmesine engel nitelikte olması ve söz konusu engelin meydana geldiği tarihi takiben en fazla beş (5) iş günü içinde Müşteriye bildirilmesi kaydıyla aşağıda belirtilen haller mücbir sebep sayılır:</w:t>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Savaş ve milli seferberlik durumu,</w:t>
        <w:br w:type="textWrapping"/>
        <w:t xml:space="preserve">b) Fevkalade hal ile işletmelerin çalışmalarının kısıtlanması,</w:t>
        <w:br w:type="textWrapping"/>
        <w:t xml:space="preserve">c) Enerji kısıtlanması,</w:t>
        <w:br w:type="textWrapping"/>
        <w:t xml:space="preserve">d) Deprem, yer kayması, su baskını vb. gibi doğal afetler,</w:t>
        <w:br w:type="textWrapping"/>
        <w:t xml:space="preserve">e) Yangın, bina çökmesi vb. gibi tesiste meydana gelen fiziksel zararlar,</w:t>
        <w:br w:type="textWrapping"/>
        <w:t xml:space="preserve">f) RADLAB’da oluşabilecek güvenliği ve işletimi engelleyebilecek arızalar.</w:t>
        <w:br w:type="textWrapping"/>
      </w:r>
    </w:p>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Mücbir sebeplerden birinin ortaya çıkması nedeniyle cihazlarda meydana gelebilecek hasar ve zararlardan RADLAB sorumlu değildir. Müşteri bunlar için RADLAB’dan hiçbir bedel talep edemez.</w:t>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240" w:lineRule="auto"/>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6. HÜKÜM BULUNMAYAN HALLER</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Bu Sözleşmede hüküm bulunmayan hallerde, genel hükümlere göre hareket edilir.</w:t>
        <w:tab/>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 Bu sözleşme 7 madde ve 4 sayfadan oluşmuş olup aşağıda bilgileri verilen özel veya tüzel kişi tarafından kabul edilip imzalanarak onaylanmıştır.</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240"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Özel veya Tüzel Kişi Bilgileri:</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Özel veya Tüzel Kişi Adı:</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TC Kimlik No veya Vergi No ve Dairesi:</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Adres:</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240" w:lineRule="auto"/>
        <w:jc w:val="both"/>
        <w:rPr>
          <w:rFonts w:ascii="Calibri" w:cs="Calibri" w:eastAsia="Calibri" w:hAnsi="Calibri"/>
          <w:color w:val="333333"/>
          <w:sz w:val="22"/>
          <w:szCs w:val="22"/>
        </w:rPr>
      </w:pPr>
      <w:r w:rsidDel="00000000" w:rsidR="00000000" w:rsidRPr="00000000">
        <w:rPr>
          <w:rFonts w:ascii="Calibri" w:cs="Calibri" w:eastAsia="Calibri" w:hAnsi="Calibri"/>
          <w:color w:val="000000"/>
          <w:sz w:val="22"/>
          <w:szCs w:val="22"/>
          <w:rtl w:val="0"/>
        </w:rPr>
        <w:t xml:space="preserve">İmza  </w:t>
      </w:r>
      <w:r w:rsidDel="00000000" w:rsidR="00000000" w:rsidRPr="00000000">
        <w:rPr>
          <w:rtl w:val="0"/>
        </w:rPr>
      </w:r>
    </w:p>
    <w:p w:rsidR="00000000" w:rsidDel="00000000" w:rsidP="00000000" w:rsidRDefault="00000000" w:rsidRPr="00000000" w14:paraId="00000048">
      <w:pPr>
        <w:rPr>
          <w:rFonts w:ascii="Calibri" w:cs="Calibri" w:eastAsia="Calibri" w:hAnsi="Calibri"/>
          <w:sz w:val="22"/>
          <w:szCs w:val="22"/>
        </w:rPr>
      </w:pPr>
      <w:r w:rsidDel="00000000" w:rsidR="00000000" w:rsidRPr="00000000">
        <w:rPr>
          <w:rtl w:val="0"/>
        </w:rPr>
      </w:r>
    </w:p>
    <w:sectPr>
      <w:headerReference r:id="rId7" w:type="default"/>
      <w:headerReference r:id="rId8" w:type="first"/>
      <w:headerReference r:id="rId9" w:type="even"/>
      <w:footerReference r:id="rId10" w:type="default"/>
      <w:pgSz w:h="16838" w:w="11906" w:orient="portrait"/>
      <w:pgMar w:bottom="1134" w:top="1134" w:left="567" w:right="567" w:header="54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Geo">
    <w:embedRegular w:fontKey="{00000000-0000-0000-0000-000000000000}" r:id="rId1" w:subsetted="0"/>
    <w:embedItalic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rPr>
        <w:sz w:val="18"/>
        <w:szCs w:val="18"/>
      </w:rPr>
    </w:pPr>
    <w:r w:rsidDel="00000000" w:rsidR="00000000" w:rsidRPr="00000000">
      <w:rPr>
        <w:rtl w:val="0"/>
      </w:rPr>
    </w:r>
  </w:p>
  <w:tbl>
    <w:tblPr>
      <w:tblStyle w:val="Table2"/>
      <w:tblW w:w="10762.0" w:type="dxa"/>
      <w:jc w:val="left"/>
      <w:tblInd w:w="0.0" w:type="dxa"/>
      <w:tblBorders>
        <w:top w:color="4472c4" w:space="0" w:sz="12"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36"/>
      <w:gridCol w:w="2561"/>
      <w:gridCol w:w="2561"/>
      <w:gridCol w:w="2561"/>
      <w:gridCol w:w="1645"/>
      <w:gridCol w:w="1198"/>
      <w:tblGridChange w:id="0">
        <w:tblGrid>
          <w:gridCol w:w="236"/>
          <w:gridCol w:w="2561"/>
          <w:gridCol w:w="2561"/>
          <w:gridCol w:w="2561"/>
          <w:gridCol w:w="1645"/>
          <w:gridCol w:w="1198"/>
        </w:tblGrid>
      </w:tblGridChange>
    </w:tblGrid>
    <w:tr>
      <w:trPr>
        <w:cantSplit w:val="0"/>
        <w:trHeight w:val="454" w:hRule="atLeast"/>
        <w:tblHeader w:val="0"/>
      </w:trPr>
      <w:tc>
        <w:tcPr>
          <w:gridSpan w:val="6"/>
          <w:vAlign w:val="center"/>
        </w:tcPr>
        <w:p w:rsidR="00000000" w:rsidDel="00000000" w:rsidP="00000000" w:rsidRDefault="00000000" w:rsidRPr="00000000" w14:paraId="00000054">
          <w:pPr>
            <w:jc w:val="center"/>
            <w:rPr>
              <w:rFonts w:ascii="Calibri" w:cs="Calibri" w:eastAsia="Calibri" w:hAnsi="Calibri"/>
              <w:b w:val="1"/>
            </w:rPr>
          </w:pPr>
          <w:r w:rsidDel="00000000" w:rsidR="00000000" w:rsidRPr="00000000">
            <w:rPr>
              <w:rFonts w:ascii="Calibri" w:cs="Calibri" w:eastAsia="Calibri" w:hAnsi="Calibri"/>
              <w:b w:val="1"/>
              <w:sz w:val="18"/>
              <w:szCs w:val="18"/>
              <w:rtl w:val="0"/>
            </w:rPr>
            <w:t xml:space="preserve">Bu belgenin basılı hali kontrolsüz kopyadır.</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rPr>
          </w:pPr>
          <w:r w:rsidDel="00000000" w:rsidR="00000000" w:rsidRPr="00000000">
            <w:rPr>
              <w:rtl w:val="0"/>
            </w:rPr>
          </w:r>
        </w:p>
      </w:tc>
      <w:tc>
        <w:tcPr>
          <w:vMerge w:val="restart"/>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pos="4536"/>
              <w:tab w:val="right" w:pos="9072"/>
            </w:tabs>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Hazırlayan</w:t>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pos="4536"/>
              <w:tab w:val="right" w:pos="9072"/>
            </w:tabs>
            <w:jc w:val="center"/>
            <w:rPr>
              <w:rFonts w:ascii="Calibri" w:cs="Calibri" w:eastAsia="Calibri" w:hAnsi="Calibri"/>
              <w:b w:val="1"/>
              <w:color w:val="000000"/>
              <w:sz w:val="16"/>
              <w:szCs w:val="16"/>
            </w:rPr>
          </w:pPr>
          <w:r w:rsidDel="00000000" w:rsidR="00000000" w:rsidRPr="00000000">
            <w:rPr>
              <w:rtl w:val="0"/>
            </w:rPr>
          </w:r>
        </w:p>
      </w:tc>
      <w:tc>
        <w:tcPr>
          <w:vMerge w:val="restart"/>
          <w:vAlign w:val="center"/>
        </w:tcPr>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pos="4536"/>
              <w:tab w:val="right" w:pos="9072"/>
            </w:tabs>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Kontrol Eden</w:t>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pos="4536"/>
              <w:tab w:val="right" w:pos="9072"/>
            </w:tabs>
            <w:jc w:val="center"/>
            <w:rPr>
              <w:rFonts w:ascii="Calibri" w:cs="Calibri" w:eastAsia="Calibri" w:hAnsi="Calibri"/>
              <w:b w:val="1"/>
              <w:color w:val="000000"/>
              <w:sz w:val="16"/>
              <w:szCs w:val="16"/>
            </w:rPr>
          </w:pPr>
          <w:r w:rsidDel="00000000" w:rsidR="00000000" w:rsidRPr="00000000">
            <w:rPr>
              <w:rtl w:val="0"/>
            </w:rPr>
          </w:r>
        </w:p>
      </w:tc>
      <w:tc>
        <w:tcPr>
          <w:vMerge w:val="restart"/>
          <w:vAlign w:val="center"/>
        </w:tcPr>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pos="4536"/>
              <w:tab w:val="right" w:pos="9072"/>
            </w:tabs>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Onaylayan</w:t>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pos="4536"/>
              <w:tab w:val="right" w:pos="9072"/>
            </w:tabs>
            <w:jc w:val="center"/>
            <w:rPr>
              <w:rFonts w:ascii="Calibri" w:cs="Calibri" w:eastAsia="Calibri" w:hAnsi="Calibri"/>
              <w:b w:val="1"/>
              <w:color w:val="000000"/>
              <w:sz w:val="16"/>
              <w:szCs w:val="16"/>
            </w:rPr>
          </w:pPr>
          <w:r w:rsidDel="00000000" w:rsidR="00000000" w:rsidRPr="00000000">
            <w:rPr>
              <w:rtl w:val="0"/>
            </w:rPr>
          </w:r>
        </w:p>
      </w:tc>
      <w:tc>
        <w:tcP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pos="4536"/>
              <w:tab w:val="right" w:pos="9072"/>
            </w:tabs>
            <w:jc w:val="right"/>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Dokümanın Kodu</w:t>
          </w:r>
        </w:p>
      </w:tc>
      <w:tc>
        <w:tcP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pos="4536"/>
              <w:tab w:val="right" w:pos="9072"/>
            </w:tabs>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FT001</w:t>
          </w:r>
        </w:p>
      </w:tc>
    </w:tr>
    <w:tr>
      <w:trPr>
        <w:cantSplit w:val="0"/>
        <w:trHeight w:val="227" w:hRule="atLeast"/>
        <w:tblHeader w:val="0"/>
      </w:trPr>
      <w:tc>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16"/>
              <w:szCs w:val="16"/>
            </w:rPr>
          </w:pPr>
          <w:r w:rsidDel="00000000" w:rsidR="00000000" w:rsidRPr="00000000">
            <w:rPr>
              <w:rtl w:val="0"/>
            </w:rPr>
          </w:r>
        </w:p>
      </w:tc>
      <w:tc>
        <w:tcPr>
          <w:vMerge w:val="continue"/>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vMerge w:val="continue"/>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vMerge w:val="continue"/>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vAlign w:val="center"/>
        </w:tcPr>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pos="4536"/>
              <w:tab w:val="right" w:pos="9072"/>
            </w:tabs>
            <w:jc w:val="right"/>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Yayın Tarihi</w:t>
          </w:r>
        </w:p>
      </w:tc>
      <w:tc>
        <w:tcPr>
          <w:vAlign w:val="center"/>
        </w:tcPr>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pos="4536"/>
              <w:tab w:val="right" w:pos="9072"/>
            </w:tabs>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03.01.2022</w:t>
          </w:r>
        </w:p>
      </w:tc>
    </w:tr>
    <w:tr>
      <w:trPr>
        <w:cantSplit w:val="0"/>
        <w:trHeight w:val="227" w:hRule="atLeast"/>
        <w:tblHeader w:val="0"/>
      </w:trPr>
      <w:tc>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16"/>
              <w:szCs w:val="16"/>
            </w:rPr>
          </w:pPr>
          <w:r w:rsidDel="00000000" w:rsidR="00000000" w:rsidRPr="00000000">
            <w:rPr>
              <w:rtl w:val="0"/>
            </w:rPr>
          </w:r>
        </w:p>
      </w:tc>
      <w:tc>
        <w:tcPr>
          <w:vMerge w:val="restart"/>
          <w:vAlign w:val="center"/>
        </w:tcPr>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pos="4536"/>
              <w:tab w:val="right" w:pos="9072"/>
            </w:tabs>
            <w:jc w:val="center"/>
            <w:rPr>
              <w:rFonts w:ascii="Calibri" w:cs="Calibri" w:eastAsia="Calibri" w:hAnsi="Calibri"/>
              <w:color w:val="000000"/>
              <w:sz w:val="16"/>
              <w:szCs w:val="16"/>
            </w:rPr>
          </w:pPr>
          <w:r w:rsidDel="00000000" w:rsidR="00000000" w:rsidRPr="00000000">
            <w:rPr>
              <w:rtl w:val="0"/>
            </w:rPr>
          </w:r>
        </w:p>
      </w:tc>
      <w:tc>
        <w:tcPr>
          <w:vMerge w:val="restart"/>
          <w:vAlign w:val="center"/>
        </w:tcPr>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pos="4536"/>
              <w:tab w:val="right" w:pos="9072"/>
            </w:tabs>
            <w:jc w:val="center"/>
            <w:rPr>
              <w:rFonts w:ascii="Calibri" w:cs="Calibri" w:eastAsia="Calibri" w:hAnsi="Calibri"/>
              <w:color w:val="000000"/>
              <w:sz w:val="16"/>
              <w:szCs w:val="16"/>
            </w:rPr>
          </w:pPr>
          <w:r w:rsidDel="00000000" w:rsidR="00000000" w:rsidRPr="00000000">
            <w:rPr>
              <w:rtl w:val="0"/>
            </w:rPr>
          </w:r>
        </w:p>
      </w:tc>
      <w:tc>
        <w:tcPr>
          <w:vMerge w:val="restart"/>
          <w:vAlign w:val="center"/>
        </w:tcPr>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pos="4536"/>
              <w:tab w:val="right" w:pos="9072"/>
            </w:tabs>
            <w:jc w:val="center"/>
            <w:rPr>
              <w:rFonts w:ascii="Calibri" w:cs="Calibri" w:eastAsia="Calibri" w:hAnsi="Calibri"/>
              <w:color w:val="000000"/>
              <w:sz w:val="16"/>
              <w:szCs w:val="16"/>
            </w:rPr>
          </w:pPr>
          <w:r w:rsidDel="00000000" w:rsidR="00000000" w:rsidRPr="00000000">
            <w:rPr>
              <w:rtl w:val="0"/>
            </w:rPr>
          </w:r>
        </w:p>
      </w:tc>
      <w:tc>
        <w:tcPr>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pos="4536"/>
              <w:tab w:val="right" w:pos="9072"/>
            </w:tabs>
            <w:jc w:val="right"/>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Revizyon No/Tarihi</w:t>
          </w:r>
        </w:p>
      </w:tc>
      <w:tc>
        <w:tcP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pos="4536"/>
              <w:tab w:val="right" w:pos="9072"/>
            </w:tabs>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00/-</w:t>
          </w:r>
        </w:p>
      </w:tc>
    </w:tr>
    <w:tr>
      <w:trPr>
        <w:cantSplit w:val="0"/>
        <w:trHeight w:val="227" w:hRule="atLeast"/>
        <w:tblHeader w:val="0"/>
      </w:trPr>
      <w:tc>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16"/>
              <w:szCs w:val="16"/>
            </w:rPr>
          </w:pPr>
          <w:r w:rsidDel="00000000" w:rsidR="00000000" w:rsidRPr="00000000">
            <w:rPr>
              <w:rtl w:val="0"/>
            </w:rPr>
          </w:r>
        </w:p>
      </w:tc>
      <w:tc>
        <w:tcPr>
          <w:vMerge w:val="continue"/>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vMerge w:val="continue"/>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vMerge w:val="continue"/>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pos="4536"/>
              <w:tab w:val="right" w:pos="9072"/>
            </w:tabs>
            <w:jc w:val="right"/>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Sayfa</w:t>
          </w:r>
        </w:p>
      </w:tc>
      <w:tc>
        <w:tcPr>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pos="4536"/>
              <w:tab w:val="right" w:pos="9072"/>
            </w:tabs>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16"/>
              <w:szCs w:val="16"/>
              <w:rtl w:val="0"/>
            </w:rPr>
            <w:t xml:space="preserve">/</w:t>
          </w:r>
          <w:r w:rsidDel="00000000" w:rsidR="00000000" w:rsidRPr="00000000">
            <w:rPr>
              <w:rFonts w:ascii="Calibri" w:cs="Calibri" w:eastAsia="Calibri" w:hAnsi="Calibri"/>
              <w:color w:val="000000"/>
              <w:sz w:val="16"/>
              <w:szCs w:val="16"/>
            </w:rPr>
            <w:fldChar w:fldCharType="begin"/>
            <w:instrText xml:space="preserve">NUMPAGES</w:instrText>
            <w:fldChar w:fldCharType="separate"/>
            <w:fldChar w:fldCharType="end"/>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16"/>
              <w:szCs w:val="16"/>
            </w:rPr>
          </w:pPr>
          <w:r w:rsidDel="00000000" w:rsidR="00000000" w:rsidRPr="00000000">
            <w:rPr>
              <w:rtl w:val="0"/>
            </w:rPr>
          </w:r>
        </w:p>
      </w:tc>
      <w:tc>
        <w:tcPr>
          <w:gridSpan w:val="5"/>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pos="4536"/>
              <w:tab w:val="right" w:pos="9072"/>
            </w:tabs>
            <w:rPr>
              <w:rFonts w:ascii="Calibri" w:cs="Calibri" w:eastAsia="Calibri" w:hAnsi="Calibri"/>
              <w:color w:val="000000"/>
              <w:sz w:val="16"/>
              <w:szCs w:val="16"/>
            </w:rPr>
          </w:pPr>
          <w:r w:rsidDel="00000000" w:rsidR="00000000" w:rsidRPr="00000000">
            <w:rPr>
              <w:rtl w:val="0"/>
            </w:rPr>
          </w:r>
        </w:p>
      </w:tc>
    </w:tr>
  </w:tbl>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pos="4536"/>
        <w:tab w:val="right" w:pos="9072"/>
      </w:tabs>
      <w:rPr>
        <w:rFonts w:ascii="Calibri" w:cs="Calibri" w:eastAsia="Calibri" w:hAnsi="Calibri"/>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tl w:val="0"/>
      </w:rPr>
    </w:r>
  </w:p>
  <w:tbl>
    <w:tblPr>
      <w:tblStyle w:val="Table1"/>
      <w:tblW w:w="10862.0" w:type="dxa"/>
      <w:jc w:val="left"/>
      <w:tblInd w:w="-90.0" w:type="dxa"/>
      <w:tblBorders>
        <w:top w:color="000000" w:space="0" w:sz="0" w:val="nil"/>
        <w:left w:color="000000" w:space="0" w:sz="0" w:val="nil"/>
        <w:bottom w:color="4472c4" w:space="0" w:sz="12" w:val="single"/>
        <w:right w:color="000000" w:space="0" w:sz="0" w:val="nil"/>
        <w:insideH w:color="000000" w:space="0" w:sz="0" w:val="nil"/>
        <w:insideV w:color="000000" w:space="0" w:sz="0" w:val="nil"/>
      </w:tblBorders>
      <w:tblLayout w:type="fixed"/>
      <w:tblLook w:val="0400"/>
    </w:tblPr>
    <w:tblGrid>
      <w:gridCol w:w="2661"/>
      <w:gridCol w:w="7034"/>
      <w:gridCol w:w="1167"/>
      <w:tblGridChange w:id="0">
        <w:tblGrid>
          <w:gridCol w:w="2661"/>
          <w:gridCol w:w="7034"/>
          <w:gridCol w:w="1167"/>
        </w:tblGrid>
      </w:tblGridChange>
    </w:tblGrid>
    <w:tr>
      <w:trPr>
        <w:cantSplit w:val="0"/>
        <w:trHeight w:val="454" w:hRule="atLeast"/>
        <w:tblHeader w:val="0"/>
      </w:trPr>
      <w:tc>
        <w:tcPr>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pos="4536"/>
              <w:tab w:val="right" w:pos="9072"/>
            </w:tabs>
            <w:rPr>
              <w:color w:val="000000"/>
            </w:rPr>
          </w:pPr>
          <w:r w:rsidDel="00000000" w:rsidR="00000000" w:rsidRPr="00000000">
            <w:rPr>
              <w:color w:val="000000"/>
            </w:rPr>
            <w:drawing>
              <wp:inline distB="0" distT="0" distL="0" distR="0">
                <wp:extent cx="1515902" cy="734509"/>
                <wp:effectExtent b="0" l="0" r="0" t="0"/>
                <wp:docPr id="2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15902" cy="734509"/>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pos="4536"/>
              <w:tab w:val="right" w:pos="9072"/>
            </w:tabs>
            <w:jc w:val="center"/>
            <w:rPr>
              <w:rFonts w:ascii="Geo" w:cs="Geo" w:eastAsia="Geo" w:hAnsi="Geo"/>
              <w:b w:val="1"/>
              <w:color w:val="000000"/>
              <w:sz w:val="28"/>
              <w:szCs w:val="28"/>
            </w:rPr>
          </w:pPr>
          <w:r w:rsidDel="00000000" w:rsidR="00000000" w:rsidRPr="00000000">
            <w:rPr>
              <w:rFonts w:ascii="Calibri" w:cs="Calibri" w:eastAsia="Calibri" w:hAnsi="Calibri"/>
              <w:b w:val="1"/>
              <w:color w:val="000000"/>
              <w:sz w:val="28"/>
              <w:szCs w:val="28"/>
              <w:rtl w:val="0"/>
            </w:rPr>
            <w:t xml:space="preserve">RADLAB İKİNCİL STANDART DOZİMETRİ LABORATUVARI ve RADYASYON ÖLÇÜM SİSTEMLERİ SAN. ve TİC. A.Ş.</w:t>
          </w:r>
          <w:r w:rsidDel="00000000" w:rsidR="00000000" w:rsidRPr="00000000">
            <w:rPr>
              <w:rtl w:val="0"/>
            </w:rPr>
          </w:r>
        </w:p>
      </w:tc>
      <w:tc>
        <w:tcPr>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pos="4536"/>
              <w:tab w:val="right" w:pos="9072"/>
            </w:tabs>
            <w:jc w:val="right"/>
            <w:rPr>
              <w:rFonts w:ascii="Calibri" w:cs="Calibri" w:eastAsia="Calibri" w:hAnsi="Calibri"/>
              <w:b w:val="1"/>
              <w:color w:val="000000"/>
              <w:sz w:val="28"/>
              <w:szCs w:val="28"/>
            </w:rPr>
          </w:pPr>
          <w:r w:rsidDel="00000000" w:rsidR="00000000" w:rsidRPr="00000000">
            <w:rPr>
              <w:rFonts w:ascii="Calibri" w:cs="Calibri" w:eastAsia="Calibri" w:hAnsi="Calibri"/>
              <w:b w:val="1"/>
              <w:color w:val="2e75b5"/>
              <w:sz w:val="28"/>
              <w:szCs w:val="28"/>
              <w:rtl w:val="0"/>
            </w:rPr>
            <w:t xml:space="preserve">FT001</w:t>
          </w:r>
          <w:r w:rsidDel="00000000" w:rsidR="00000000" w:rsidRPr="00000000">
            <w:rPr>
              <w:rtl w:val="0"/>
            </w:rPr>
          </w:r>
        </w:p>
      </w:tc>
    </w:tr>
    <w:tr>
      <w:trPr>
        <w:cantSplit w:val="0"/>
        <w:trHeight w:val="454" w:hRule="atLeast"/>
        <w:tblHeader w:val="0"/>
      </w:trPr>
      <w:tc>
        <w:tcPr>
          <w:gridSpan w:val="3"/>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pos="4536"/>
              <w:tab w:val="right" w:pos="9072"/>
            </w:tabs>
            <w:jc w:val="center"/>
            <w:rPr>
              <w:rFonts w:ascii="Calibri" w:cs="Calibri" w:eastAsia="Calibri" w:hAnsi="Calibri"/>
              <w:color w:val="e31837"/>
              <w:sz w:val="28"/>
              <w:szCs w:val="28"/>
            </w:rPr>
          </w:pPr>
          <w:r w:rsidDel="00000000" w:rsidR="00000000" w:rsidRPr="00000000">
            <w:rPr>
              <w:rFonts w:ascii="Calibri" w:cs="Calibri" w:eastAsia="Calibri" w:hAnsi="Calibri"/>
              <w:color w:val="2e75b5"/>
              <w:sz w:val="28"/>
              <w:szCs w:val="28"/>
              <w:rtl w:val="0"/>
            </w:rPr>
            <w:t xml:space="preserve">Hizmet Sözleşmesi Formu</w:t>
          </w:r>
          <w:r w:rsidDel="00000000" w:rsidR="00000000" w:rsidRPr="00000000">
            <w:rPr>
              <w:rtl w:val="0"/>
            </w:rPr>
          </w:r>
        </w:p>
      </w:tc>
    </w:tr>
  </w:tbl>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pos="4536"/>
        <w:tab w:val="right" w:pos="9072"/>
      </w:tabs>
      <w:rPr>
        <w:color w:val="000000"/>
      </w:rPr>
    </w:pPr>
    <w:r w:rsidDel="00000000" w:rsidR="00000000" w:rsidRPr="00000000">
      <w:rPr>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835775" cy="3312160"/>
          <wp:effectExtent b="0" l="0" r="0" t="0"/>
          <wp:wrapNone/>
          <wp:docPr descr="radlab_logo_fligran" id="28" name="image4.jpg"/>
          <a:graphic>
            <a:graphicData uri="http://schemas.openxmlformats.org/drawingml/2006/picture">
              <pic:pic>
                <pic:nvPicPr>
                  <pic:cNvPr descr="radlab_logo_fligran" id="0" name="image4.jpg"/>
                  <pic:cNvPicPr preferRelativeResize="0"/>
                </pic:nvPicPr>
                <pic:blipFill>
                  <a:blip r:embed="rId2"/>
                  <a:srcRect b="0" l="0" r="0" t="0"/>
                  <a:stretch>
                    <a:fillRect/>
                  </a:stretch>
                </pic:blipFill>
                <pic:spPr>
                  <a:xfrm>
                    <a:off x="0" y="0"/>
                    <a:ext cx="6835775" cy="3312160"/>
                  </a:xfrm>
                  <a:prstGeom prst="rect"/>
                  <a:ln/>
                </pic:spPr>
              </pic:pic>
            </a:graphicData>
          </a:graphic>
        </wp:anchor>
      </w:drawing>
    </w:r>
    <w:r w:rsidDel="00000000" w:rsidR="00000000" w:rsidRPr="00000000">
      <w:rPr>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835775" cy="3312160"/>
          <wp:effectExtent b="0" l="0" r="0" t="0"/>
          <wp:wrapNone/>
          <wp:docPr descr="radlab_logo_fligran" id="29" name="image3.jpg"/>
          <a:graphic>
            <a:graphicData uri="http://schemas.openxmlformats.org/drawingml/2006/picture">
              <pic:pic>
                <pic:nvPicPr>
                  <pic:cNvPr descr="radlab_logo_fligran" id="0" name="image3.jpg"/>
                  <pic:cNvPicPr preferRelativeResize="0"/>
                </pic:nvPicPr>
                <pic:blipFill>
                  <a:blip r:embed="rId3"/>
                  <a:srcRect b="0" l="0" r="0" t="0"/>
                  <a:stretch>
                    <a:fillRect/>
                  </a:stretch>
                </pic:blipFill>
                <pic:spPr>
                  <a:xfrm>
                    <a:off x="0" y="0"/>
                    <a:ext cx="6835775" cy="3312160"/>
                  </a:xfrm>
                  <a:prstGeom prst="rect"/>
                  <a:ln/>
                </pic:spPr>
              </pic:pic>
            </a:graphicData>
          </a:graphic>
        </wp:anchor>
      </w:drawing>
    </w:r>
    <w:r w:rsidDel="00000000" w:rsidR="00000000" w:rsidRPr="00000000">
      <w:rPr>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467475" cy="3133725"/>
          <wp:effectExtent b="0" l="0" r="0" t="0"/>
          <wp:wrapNone/>
          <wp:docPr descr="radlab_logo" id="27" name="image1.jpg"/>
          <a:graphic>
            <a:graphicData uri="http://schemas.openxmlformats.org/drawingml/2006/picture">
              <pic:pic>
                <pic:nvPicPr>
                  <pic:cNvPr descr="radlab_logo" id="0" name="image1.jpg"/>
                  <pic:cNvPicPr preferRelativeResize="0"/>
                </pic:nvPicPr>
                <pic:blipFill>
                  <a:blip r:embed="rId4"/>
                  <a:srcRect b="0" l="0" r="0" t="0"/>
                  <a:stretch>
                    <a:fillRect/>
                  </a:stretch>
                </pic:blipFill>
                <pic:spPr>
                  <a:xfrm>
                    <a:off x="0" y="0"/>
                    <a:ext cx="6467475" cy="313372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pos="4536"/>
        <w:tab w:val="right" w:pos="9072"/>
      </w:tabs>
      <w:rPr>
        <w:color w:val="000000"/>
      </w:rPr>
    </w:pPr>
    <w:r w:rsidDel="00000000" w:rsidR="00000000" w:rsidRPr="00000000">
      <w:rPr>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835775" cy="3312160"/>
          <wp:effectExtent b="0" l="0" r="0" t="0"/>
          <wp:wrapNone/>
          <wp:docPr descr="radlab_logo_fligran" id="23" name="image4.jpg"/>
          <a:graphic>
            <a:graphicData uri="http://schemas.openxmlformats.org/drawingml/2006/picture">
              <pic:pic>
                <pic:nvPicPr>
                  <pic:cNvPr descr="radlab_logo_fligran" id="0" name="image4.jpg"/>
                  <pic:cNvPicPr preferRelativeResize="0"/>
                </pic:nvPicPr>
                <pic:blipFill>
                  <a:blip r:embed="rId1"/>
                  <a:srcRect b="0" l="0" r="0" t="0"/>
                  <a:stretch>
                    <a:fillRect/>
                  </a:stretch>
                </pic:blipFill>
                <pic:spPr>
                  <a:xfrm>
                    <a:off x="0" y="0"/>
                    <a:ext cx="6835775" cy="3312160"/>
                  </a:xfrm>
                  <a:prstGeom prst="rect"/>
                  <a:ln/>
                </pic:spPr>
              </pic:pic>
            </a:graphicData>
          </a:graphic>
        </wp:anchor>
      </w:drawing>
    </w:r>
    <w:r w:rsidDel="00000000" w:rsidR="00000000" w:rsidRPr="00000000">
      <w:rPr>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835775" cy="3312160"/>
          <wp:effectExtent b="0" l="0" r="0" t="0"/>
          <wp:wrapNone/>
          <wp:docPr descr="radlab_logo_fligran" id="26" name="image3.jpg"/>
          <a:graphic>
            <a:graphicData uri="http://schemas.openxmlformats.org/drawingml/2006/picture">
              <pic:pic>
                <pic:nvPicPr>
                  <pic:cNvPr descr="radlab_logo_fligran" id="0" name="image3.jpg"/>
                  <pic:cNvPicPr preferRelativeResize="0"/>
                </pic:nvPicPr>
                <pic:blipFill>
                  <a:blip r:embed="rId2"/>
                  <a:srcRect b="0" l="0" r="0" t="0"/>
                  <a:stretch>
                    <a:fillRect/>
                  </a:stretch>
                </pic:blipFill>
                <pic:spPr>
                  <a:xfrm>
                    <a:off x="0" y="0"/>
                    <a:ext cx="6835775" cy="3312160"/>
                  </a:xfrm>
                  <a:prstGeom prst="rect"/>
                  <a:ln/>
                </pic:spPr>
              </pic:pic>
            </a:graphicData>
          </a:graphic>
        </wp:anchor>
      </w:drawing>
    </w:r>
    <w:r w:rsidDel="00000000" w:rsidR="00000000" w:rsidRPr="00000000">
      <w:rPr>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467475" cy="3133725"/>
          <wp:effectExtent b="0" l="0" r="0" t="0"/>
          <wp:wrapNone/>
          <wp:docPr descr="radlab_logo" id="25" name="image1.jpg"/>
          <a:graphic>
            <a:graphicData uri="http://schemas.openxmlformats.org/drawingml/2006/picture">
              <pic:pic>
                <pic:nvPicPr>
                  <pic:cNvPr descr="radlab_logo" id="0" name="image1.jpg"/>
                  <pic:cNvPicPr preferRelativeResize="0"/>
                </pic:nvPicPr>
                <pic:blipFill>
                  <a:blip r:embed="rId3"/>
                  <a:srcRect b="0" l="0" r="0" t="0"/>
                  <a:stretch>
                    <a:fillRect/>
                  </a:stretch>
                </pic:blipFill>
                <pic:spPr>
                  <a:xfrm>
                    <a:off x="0" y="0"/>
                    <a:ext cx="6467475" cy="3133725"/>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pos="4536"/>
        <w:tab w:val="right" w:pos="9072"/>
      </w:tabs>
      <w:rPr>
        <w:color w:val="000000"/>
      </w:rPr>
    </w:pPr>
    <w:r w:rsidDel="00000000" w:rsidR="00000000" w:rsidRPr="00000000">
      <w:rPr>
        <w:color w:val="000000"/>
      </w:rPr>
      <w:pict>
        <v:shape id="WordPictureWatermark1" style="position:absolute;width:538.25pt;height:260.7999212598425pt;rotation:0;z-index:-503316481;mso-position-horizontal-relative:margin;mso-position-horizontal:center;mso-position-vertical-relative:margin;mso-position-vertical:center;" alt="" type="#_x0000_t75">
          <v:imagedata cropbottom="0f" cropleft="0f" cropright="0f" croptop="0f" r:id="rId1" o:title="image4.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360" w:hanging="360"/>
      </w:pPr>
      <w:rPr>
        <w:b w:val="1"/>
      </w:rPr>
    </w:lvl>
    <w:lvl w:ilvl="1">
      <w:start w:val="5"/>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800" w:hanging="1800"/>
      </w:pPr>
      <w:rPr>
        <w:b w:val="1"/>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tr-T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87E9E"/>
  </w:style>
  <w:style w:type="paragraph" w:styleId="Balk1">
    <w:name w:val="heading 1"/>
    <w:basedOn w:val="Normal"/>
    <w:next w:val="Normal"/>
    <w:pPr>
      <w:keepNext w:val="1"/>
      <w:keepLines w:val="1"/>
      <w:spacing w:after="120" w:before="480"/>
      <w:outlineLvl w:val="0"/>
    </w:pPr>
    <w:rPr>
      <w:b w:val="1"/>
      <w:sz w:val="48"/>
      <w:szCs w:val="48"/>
    </w:rPr>
  </w:style>
  <w:style w:type="paragraph" w:styleId="Balk2">
    <w:name w:val="heading 2"/>
    <w:basedOn w:val="Normal"/>
    <w:next w:val="Normal"/>
    <w:pPr>
      <w:keepNext w:val="1"/>
      <w:keepLines w:val="1"/>
      <w:spacing w:after="80" w:before="360"/>
      <w:outlineLvl w:val="1"/>
    </w:pPr>
    <w:rPr>
      <w:b w:val="1"/>
      <w:sz w:val="36"/>
      <w:szCs w:val="36"/>
    </w:rPr>
  </w:style>
  <w:style w:type="paragraph" w:styleId="Balk3">
    <w:name w:val="heading 3"/>
    <w:basedOn w:val="Normal"/>
    <w:next w:val="Normal"/>
    <w:pPr>
      <w:keepNext w:val="1"/>
      <w:keepLines w:val="1"/>
      <w:spacing w:after="80" w:before="280"/>
      <w:outlineLvl w:val="2"/>
    </w:pPr>
    <w:rPr>
      <w:b w:val="1"/>
      <w:sz w:val="28"/>
      <w:szCs w:val="28"/>
    </w:rPr>
  </w:style>
  <w:style w:type="paragraph" w:styleId="Balk4">
    <w:name w:val="heading 4"/>
    <w:basedOn w:val="Normal"/>
    <w:next w:val="Normal"/>
    <w:pPr>
      <w:keepNext w:val="1"/>
      <w:keepLines w:val="1"/>
      <w:spacing w:after="40" w:before="240"/>
      <w:outlineLvl w:val="3"/>
    </w:pPr>
    <w:rPr>
      <w:b w:val="1"/>
    </w:rPr>
  </w:style>
  <w:style w:type="paragraph" w:styleId="Balk5">
    <w:name w:val="heading 5"/>
    <w:basedOn w:val="Normal"/>
    <w:next w:val="Normal"/>
    <w:pPr>
      <w:keepNext w:val="1"/>
      <w:keepLines w:val="1"/>
      <w:spacing w:after="40" w:before="220"/>
      <w:outlineLvl w:val="4"/>
    </w:pPr>
    <w:rPr>
      <w:b w:val="1"/>
      <w:sz w:val="22"/>
      <w:szCs w:val="22"/>
    </w:rPr>
  </w:style>
  <w:style w:type="paragraph" w:styleId="Balk6">
    <w:name w:val="heading 6"/>
    <w:basedOn w:val="Normal"/>
    <w:next w:val="Normal"/>
    <w:pPr>
      <w:keepNext w:val="1"/>
      <w:keepLines w:val="1"/>
      <w:spacing w:after="40" w:before="200"/>
      <w:outlineLvl w:val="5"/>
    </w:pPr>
    <w:rPr>
      <w:b w:val="1"/>
      <w:sz w:val="20"/>
      <w:szCs w:val="20"/>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KonuBal">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stBilgi">
    <w:name w:val="header"/>
    <w:basedOn w:val="Normal"/>
    <w:link w:val="stBilgiChar"/>
    <w:unhideWhenUsed w:val="1"/>
    <w:rsid w:val="00B77A30"/>
    <w:pPr>
      <w:tabs>
        <w:tab w:val="center" w:pos="4536"/>
        <w:tab w:val="right" w:pos="9072"/>
      </w:tabs>
    </w:pPr>
  </w:style>
  <w:style w:type="character" w:styleId="stBilgiChar" w:customStyle="1">
    <w:name w:val="Üst Bilgi Char"/>
    <w:basedOn w:val="VarsaylanParagrafYazTipi"/>
    <w:link w:val="stBilgi"/>
    <w:uiPriority w:val="99"/>
    <w:rsid w:val="00B77A30"/>
  </w:style>
  <w:style w:type="paragraph" w:styleId="AltBilgi">
    <w:name w:val="footer"/>
    <w:basedOn w:val="Normal"/>
    <w:link w:val="AltBilgiChar"/>
    <w:uiPriority w:val="99"/>
    <w:unhideWhenUsed w:val="1"/>
    <w:rsid w:val="00B77A30"/>
    <w:pPr>
      <w:tabs>
        <w:tab w:val="center" w:pos="4536"/>
        <w:tab w:val="right" w:pos="9072"/>
      </w:tabs>
    </w:pPr>
  </w:style>
  <w:style w:type="character" w:styleId="AltBilgiChar" w:customStyle="1">
    <w:name w:val="Alt Bilgi Char"/>
    <w:basedOn w:val="VarsaylanParagrafYazTipi"/>
    <w:link w:val="AltBilgi"/>
    <w:uiPriority w:val="99"/>
    <w:rsid w:val="00B77A30"/>
  </w:style>
  <w:style w:type="table" w:styleId="TabloKlavuzu">
    <w:name w:val="Table Grid"/>
    <w:basedOn w:val="NormalTablo"/>
    <w:uiPriority w:val="59"/>
    <w:rsid w:val="00B77A3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ayfaNumaras">
    <w:name w:val="page number"/>
    <w:basedOn w:val="VarsaylanParagrafYazTipi"/>
    <w:rsid w:val="00B77A30"/>
  </w:style>
  <w:style w:type="paragraph" w:styleId="ListeParagraf">
    <w:name w:val="List Paragraph"/>
    <w:basedOn w:val="Normal"/>
    <w:uiPriority w:val="34"/>
    <w:qFormat w:val="1"/>
    <w:rsid w:val="00B77A30"/>
    <w:pPr>
      <w:ind w:left="720"/>
      <w:contextualSpacing w:val="1"/>
    </w:pPr>
  </w:style>
  <w:style w:type="paragraph" w:styleId="ResimYazs">
    <w:name w:val="caption"/>
    <w:basedOn w:val="Normal"/>
    <w:next w:val="Normal"/>
    <w:uiPriority w:val="35"/>
    <w:unhideWhenUsed w:val="1"/>
    <w:qFormat w:val="1"/>
    <w:rsid w:val="006719CC"/>
    <w:pPr>
      <w:spacing w:after="200"/>
    </w:pPr>
    <w:rPr>
      <w:i w:val="1"/>
      <w:iCs w:val="1"/>
      <w:color w:val="44546a" w:themeColor="text2"/>
      <w:sz w:val="18"/>
      <w:szCs w:val="18"/>
    </w:rPr>
  </w:style>
  <w:style w:type="character" w:styleId="Gl">
    <w:name w:val="Strong"/>
    <w:basedOn w:val="VarsaylanParagrafYazTipi"/>
    <w:qFormat w:val="1"/>
    <w:rsid w:val="002417FD"/>
    <w:rPr>
      <w:b w:val="1"/>
      <w:bCs w:val="1"/>
    </w:rPr>
  </w:style>
  <w:style w:type="paragraph" w:styleId="GvdeMetni">
    <w:name w:val="Body Text"/>
    <w:basedOn w:val="Normal"/>
    <w:link w:val="GvdeMetniChar"/>
    <w:rsid w:val="002417FD"/>
    <w:pPr>
      <w:tabs>
        <w:tab w:val="num" w:pos="360"/>
      </w:tabs>
      <w:ind w:right="284"/>
      <w:jc w:val="both"/>
    </w:pPr>
    <w:rPr>
      <w:color w:val="000000"/>
    </w:rPr>
  </w:style>
  <w:style w:type="character" w:styleId="GvdeMetniChar" w:customStyle="1">
    <w:name w:val="Gövde Metni Char"/>
    <w:basedOn w:val="VarsaylanParagrafYazTipi"/>
    <w:link w:val="GvdeMetni"/>
    <w:rsid w:val="002417FD"/>
    <w:rPr>
      <w:rFonts w:ascii="Times New Roman" w:cs="Times New Roman" w:eastAsia="Times New Roman" w:hAnsi="Times New Roman"/>
      <w:color w:val="000000"/>
      <w:sz w:val="24"/>
      <w:szCs w:val="24"/>
      <w:lang w:eastAsia="tr-TR"/>
    </w:rPr>
  </w:style>
  <w:style w:type="paragraph" w:styleId="TableParagraph" w:customStyle="1">
    <w:name w:val="Table Paragraph"/>
    <w:basedOn w:val="Normal"/>
    <w:uiPriority w:val="1"/>
    <w:qFormat w:val="1"/>
    <w:rsid w:val="007D03A2"/>
    <w:pPr>
      <w:widowControl w:val="0"/>
      <w:autoSpaceDE w:val="0"/>
      <w:autoSpaceDN w:val="0"/>
      <w:ind w:left="125"/>
    </w:pPr>
    <w:rPr>
      <w:rFonts w:ascii="Calibri" w:cs="Calibri" w:eastAsia="Calibri" w:hAnsi="Calibri"/>
      <w:lang w:bidi="en-US" w:val="en-US"/>
    </w:rPr>
  </w:style>
  <w:style w:type="character" w:styleId="Kpr">
    <w:name w:val="Hyperlink"/>
    <w:rsid w:val="00F87E9E"/>
    <w:rPr>
      <w:color w:val="0000ff"/>
      <w:u w:val="single"/>
    </w:rPr>
  </w:style>
  <w:style w:type="paragraph" w:styleId="NormalWeb">
    <w:name w:val="Normal (Web)"/>
    <w:basedOn w:val="Normal"/>
    <w:rsid w:val="00F87E9E"/>
    <w:pPr>
      <w:spacing w:after="240"/>
    </w:pPr>
    <w:rPr>
      <w:rFonts w:ascii="Arial" w:cs="Arial" w:hAnsi="Arial"/>
      <w:color w:val="333333"/>
      <w:sz w:val="18"/>
      <w:szCs w:val="18"/>
    </w:rPr>
  </w:style>
  <w:style w:type="paragraph" w:styleId="Altyaz">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NormalTablo"/>
    <w:tblPr>
      <w:tblStyleRowBandSize w:val="1"/>
      <w:tblStyleColBandSize w:val="1"/>
    </w:tblPr>
  </w:style>
  <w:style w:type="table" w:styleId="a0" w:customStyle="1">
    <w:basedOn w:val="NormalTablo"/>
    <w:tblPr>
      <w:tblStyleRowBandSize w:val="1"/>
      <w:tblStyleColBandSize w:val="1"/>
    </w:tblPr>
  </w:style>
  <w:style w:type="table" w:styleId="a1" w:customStyle="1">
    <w:basedOn w:val="TableNormal0"/>
    <w:tblPr>
      <w:tblStyleRowBandSize w:val="1"/>
      <w:tblStyleColBandSize w:val="1"/>
      <w:tblCellMar>
        <w:left w:w="108.0" w:type="dxa"/>
        <w:right w:w="108.0" w:type="dxa"/>
      </w:tblCellMar>
    </w:tblPr>
  </w:style>
  <w:style w:type="table" w:styleId="a2" w:customStyle="1">
    <w:basedOn w:val="TableNormal0"/>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Geo-regular.ttf"/><Relationship Id="rId2" Type="http://schemas.openxmlformats.org/officeDocument/2006/relationships/font" Target="fonts/Geo-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4.jpg"/><Relationship Id="rId3" Type="http://schemas.openxmlformats.org/officeDocument/2006/relationships/image" Target="media/image3.jpg"/><Relationship Id="rId4"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3.jpg"/><Relationship Id="rId3"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6Qmjxxd+QKlCOMfjCaSUr6Qinw==">AMUW2mWShfHi1tTg1i7WpRz8SYxZ9nxoX0PeXq9ioWdRZrVyQ2dTlapN1bs//IwtJSjqvnyKtmSFLysOt7LYOGcEnmCHekOY1Vrd/FAUoWZD7AztVZWJCvqMsZFvgUoW0xbHrlokYMFI7QFvyaUtX/OurncSwFuw8GNoQkh7PGFICPMFMi5VpEOBLMu4NjgTDNunFeitUqZbKHJ740Dr8n/TK3I7oSuPbM9cu2X5XzsRINO9j7CJ550=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2022-06-26T22:13:00Z</dcterms:created>
  <dc:creator>M. Tolga Ertürk</dc:creator>
</cp:coreProperties>
</file>